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FF0000"/>
          <w:w w:val="60"/>
        </w:rPr>
        <w:t>聊城大学</w:t>
      </w:r>
      <w:r>
        <w:rPr>
          <w:rFonts w:hint="eastAsia" w:ascii="Times New Roman" w:hAnsi="Times New Roman" w:eastAsia="方正小标宋简体" w:cs="Times New Roman"/>
          <w:color w:val="FF0000"/>
          <w:w w:val="60"/>
          <w:lang w:val="en-US" w:eastAsia="zh-CN"/>
        </w:rPr>
        <w:t>创新创业</w:t>
      </w:r>
      <w:r>
        <w:rPr>
          <w:rFonts w:hint="default" w:ascii="Times New Roman" w:hAnsi="Times New Roman" w:eastAsia="方正小标宋简体" w:cs="Times New Roman"/>
          <w:color w:val="FF0000"/>
          <w:w w:val="60"/>
        </w:rPr>
        <w:t>学院</w:t>
      </w:r>
    </w:p>
    <w:p>
      <w:pPr>
        <w:pStyle w:val="4"/>
        <w:spacing w:before="1540"/>
        <w:ind w:left="309" w:right="341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聊大</w:t>
      </w:r>
      <w:r>
        <w:rPr>
          <w:rFonts w:hint="eastAsia" w:ascii="Times New Roman" w:hAnsi="Times New Roman" w:cs="Times New Roman"/>
          <w:lang w:val="en-US" w:eastAsia="zh-CN"/>
        </w:rPr>
        <w:t>创函</w:t>
      </w:r>
      <w:r>
        <w:rPr>
          <w:rFonts w:hint="default" w:ascii="Times New Roman" w:hAnsi="Times New Roman" w:cs="Times New Roman"/>
        </w:rPr>
        <w:t>〔20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hint="default" w:ascii="Times New Roman" w:hAnsi="Times New Roman" w:cs="Times New Roman"/>
        </w:rPr>
        <w:t>号</w:t>
      </w:r>
    </w:p>
    <w:p>
      <w:pPr>
        <w:pStyle w:val="4"/>
        <w:ind w:left="0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55245</wp:posOffset>
                </wp:positionV>
                <wp:extent cx="5854700" cy="28575"/>
                <wp:effectExtent l="0" t="0" r="12700" b="9525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4pt;margin-top:4.35pt;height:2.25pt;width:461pt;mso-position-horizontal-relative:page;mso-wrap-distance-bottom:0pt;mso-wrap-distance-top:0pt;z-index:-251656192;mso-width-relative:page;mso-height-relative:page;" fillcolor="#FF0000" filled="t" stroked="f" coordsize="21600,21600" o:gfxdata="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U&#10;3yZ71QAAAAkBAAAPAAAAAAAAAAEAIAAAACIAAABkcnMvZG93bnJldi54bWxQSwECFAAUAAAACACH&#10;TuJAIWwsvbUBAABpAwAADgAAAAAAAAABACAAAAAk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bookmarkStart w:id="0" w:name="关于聘任于倩倩等同志业务班主任的决定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关于举办聊城大学2022年大学生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金相技能大赛的通知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全国大学生金相技能大赛（简称金相大赛）是由教育部高等学校材料类专业教学指导委员会主办的全国性赛事，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旨在“以赛促教，以赛促改，以赛促学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，促进校际交流，不断提高材料类专业人才培养质量。目前金相大赛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已成功举办了十届，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成为材料类专业规格最高、制度最健全、覆盖面最广、影响力最大的一项赛事，同时该赛事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已成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为中国高等教育学会全国高校大学生竞赛排行榜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赛事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丰富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我校大学生课外文化生活，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进一步加强学生工程实践应用能力培养，提高学生金相技能与实验动手能力，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推进实验实践教学改革，现拟举办2022年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聊城大学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大学生金相技能大赛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暨</w:t>
      </w:r>
      <w:r>
        <w:rPr>
          <w:rFonts w:hint="eastAsia" w:ascii="仿宋_GB2312" w:hAnsi="仿宋_GB2312" w:eastAsia="仿宋_GB2312" w:cs="仿宋_GB2312"/>
          <w:sz w:val="32"/>
          <w:szCs w:val="32"/>
        </w:rPr>
        <w:t>第十一届全国大学生金相技能大赛校内选拔赛。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竞赛组织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主办单位：创新创业学院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承办单位：材料科学与工程学院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聊城大学全日制在校本科生均可参加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竞赛内容和方式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</w:t>
      </w:r>
      <w:r>
        <w:rPr>
          <w:rFonts w:hint="default" w:ascii="仿宋_GB2312" w:hAnsi="仿宋_GB2312" w:eastAsia="仿宋_GB2312" w:cs="仿宋_GB2312"/>
          <w:sz w:val="32"/>
          <w:szCs w:val="32"/>
        </w:rPr>
        <w:t>选用20#钢试样，参赛者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default" w:ascii="仿宋_GB2312" w:hAnsi="仿宋_GB2312" w:eastAsia="仿宋_GB2312" w:cs="仿宋_GB2312"/>
          <w:sz w:val="32"/>
          <w:szCs w:val="32"/>
        </w:rPr>
        <w:t>在规定时间50分钟内需完成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金相</w:t>
      </w:r>
      <w:r>
        <w:rPr>
          <w:rFonts w:hint="default" w:ascii="仿宋_GB2312" w:hAnsi="仿宋_GB2312" w:eastAsia="仿宋_GB2312" w:cs="仿宋_GB2312"/>
          <w:sz w:val="32"/>
          <w:szCs w:val="32"/>
        </w:rPr>
        <w:t>试样粗磨、细磨、抛光、侵蚀与组织观察全过程。参赛者最终成绩由所制备金相样品表面质量、金相图像质量和操作规范三部分组成。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赛事流程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报名阶段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即日起至5月2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日通过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2022年聊城大学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金相大赛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交流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QQ群（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772625039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）报名。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练习时间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即日起至5月2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日参赛选手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可在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实训楼D204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金相实验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室练习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有条件也可自行安排。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比赛时间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日至2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日在实训楼D204室举行。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.比赛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设立一等奖、二等奖、三等奖及优胜奖，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各级获奖比例根据实际参赛规模确定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竞赛优秀者经选拔培训后，代表学校参加“第十一届全国大学生金相技能大赛”（8月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  <w:t>，郑州大学）。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color w:val="222222"/>
          <w:sz w:val="32"/>
          <w:szCs w:val="32"/>
          <w:shd w:val="clear" w:color="auto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联系人：马老师  18663583739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赵老师  15163592195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王国顺  13287531551  （竞赛助理）</w:t>
      </w:r>
    </w:p>
    <w:p>
      <w:pPr>
        <w:spacing w:line="360" w:lineRule="auto"/>
        <w:ind w:firstLine="1440" w:firstLineChars="600"/>
        <w:rPr>
          <w:rFonts w:hint="eastAsia" w:ascii="Times New Roman" w:hAnsi="Times New Roman" w:cs="Times New Roman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132080</wp:posOffset>
            </wp:positionV>
            <wp:extent cx="1688465" cy="1589405"/>
            <wp:effectExtent l="0" t="0" r="0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聊城大学大学生学科竞赛指导委员会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创新创业学院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代章）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2022年5月10日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5" w:type="default"/>
      <w:type w:val="continuous"/>
      <w:pgSz w:w="11910" w:h="16840"/>
      <w:pgMar w:top="1500" w:right="1474" w:bottom="1417" w:left="1474" w:header="0" w:footer="111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FD93AD-CD03-4775-A6B5-9F2FADF73E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9249DB5-3182-4385-81D5-03E4FA2BD96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01DAC1-5527-4756-A9BE-D69FEDAD96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1D6EDEE-A3A4-4A21-A021-329CEC4A546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8000" cy="22669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7" w:line="34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7.85pt;width:40pt;mso-position-horizontal:center;mso-position-horizontal-relative:margin;z-index:251659264;mso-width-relative:page;mso-height-relative:page;" filled="f" stroked="f" coordsize="21600,21600" o:gfxdata="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czZILTAAAAAwEAAA8AAAAAAAAAAQAgAAAAIgAAAGRycy9kb3ducmV2LnhtbFBLAQIUABQAAAAI&#10;AIdO4kD5wdctuQEAAHEDAAAOAAAAAAAAAAEAIAAAACI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" w:line="340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ODYxNmUyZjYxZDQ5MDdlMzY0YjVlMzY2MThmNTIifQ=="/>
  </w:docVars>
  <w:rsids>
    <w:rsidRoot w:val="00000000"/>
    <w:rsid w:val="041A3201"/>
    <w:rsid w:val="048D6966"/>
    <w:rsid w:val="06B60800"/>
    <w:rsid w:val="06EC129E"/>
    <w:rsid w:val="07656276"/>
    <w:rsid w:val="090E0CF4"/>
    <w:rsid w:val="09640685"/>
    <w:rsid w:val="09D5245E"/>
    <w:rsid w:val="0B5C6B48"/>
    <w:rsid w:val="0BE9410E"/>
    <w:rsid w:val="0C593CF3"/>
    <w:rsid w:val="0C8F09E6"/>
    <w:rsid w:val="12270403"/>
    <w:rsid w:val="13E40A88"/>
    <w:rsid w:val="14204F71"/>
    <w:rsid w:val="14537920"/>
    <w:rsid w:val="15D25296"/>
    <w:rsid w:val="16487415"/>
    <w:rsid w:val="174B7586"/>
    <w:rsid w:val="191622F9"/>
    <w:rsid w:val="1C2D36C2"/>
    <w:rsid w:val="20EE6FCF"/>
    <w:rsid w:val="210718F3"/>
    <w:rsid w:val="2115769F"/>
    <w:rsid w:val="23776970"/>
    <w:rsid w:val="24322050"/>
    <w:rsid w:val="24CE55DF"/>
    <w:rsid w:val="27DC75FB"/>
    <w:rsid w:val="29A77A76"/>
    <w:rsid w:val="29D84F1B"/>
    <w:rsid w:val="2B8A3913"/>
    <w:rsid w:val="2DEF1604"/>
    <w:rsid w:val="2F307DD8"/>
    <w:rsid w:val="3035391F"/>
    <w:rsid w:val="30760E06"/>
    <w:rsid w:val="329A208F"/>
    <w:rsid w:val="348902CD"/>
    <w:rsid w:val="34A15FC7"/>
    <w:rsid w:val="363C7169"/>
    <w:rsid w:val="36E5028C"/>
    <w:rsid w:val="37ED46D8"/>
    <w:rsid w:val="38EC66FC"/>
    <w:rsid w:val="3C5A6569"/>
    <w:rsid w:val="3F926E59"/>
    <w:rsid w:val="538261C9"/>
    <w:rsid w:val="54846897"/>
    <w:rsid w:val="58FB4D81"/>
    <w:rsid w:val="591C17FB"/>
    <w:rsid w:val="5EAA25F8"/>
    <w:rsid w:val="5EB95002"/>
    <w:rsid w:val="62C71710"/>
    <w:rsid w:val="69AA5B69"/>
    <w:rsid w:val="6AA0745A"/>
    <w:rsid w:val="6C451352"/>
    <w:rsid w:val="6F1E501F"/>
    <w:rsid w:val="6F6E6F85"/>
    <w:rsid w:val="6F941A0B"/>
    <w:rsid w:val="731B5BB7"/>
    <w:rsid w:val="75163CF9"/>
    <w:rsid w:val="766D3497"/>
    <w:rsid w:val="768648BB"/>
    <w:rsid w:val="77B83559"/>
    <w:rsid w:val="7A0718E5"/>
    <w:rsid w:val="7B004D86"/>
    <w:rsid w:val="7B5E177B"/>
    <w:rsid w:val="7C946E10"/>
    <w:rsid w:val="7CB969EA"/>
    <w:rsid w:val="7CBD7FDE"/>
    <w:rsid w:val="7CFC62FA"/>
    <w:rsid w:val="7D2B2853"/>
    <w:rsid w:val="7F9215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unhideWhenUsed/>
    <w:qFormat/>
    <w:uiPriority w:val="0"/>
    <w:pPr>
      <w:spacing w:before="0" w:beforeAutospacing="0" w:after="0" w:afterAutospacing="0"/>
      <w:jc w:val="both"/>
      <w:outlineLvl w:val="2"/>
    </w:pPr>
    <w:rPr>
      <w:rFonts w:hint="eastAsia" w:ascii="楷体_GB2312" w:hAnsi="楷体_GB2312" w:eastAsia="楷体_GB2312" w:cs="宋体"/>
      <w:b/>
      <w:bCs/>
      <w:kern w:val="0"/>
      <w:szCs w:val="27"/>
      <w:lang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ind w:left="759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"/>
    <w:pPr>
      <w:spacing w:line="1805" w:lineRule="exact"/>
      <w:ind w:left="309" w:right="341"/>
      <w:jc w:val="center"/>
    </w:pPr>
    <w:rPr>
      <w:rFonts w:ascii="宋体" w:hAnsi="宋体" w:eastAsia="宋体" w:cs="宋体"/>
      <w:sz w:val="144"/>
      <w:szCs w:val="144"/>
      <w:lang w:val="en-US" w:eastAsia="zh-CN" w:bidi="ar-SA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1352</Words>
  <Characters>1415</Characters>
  <TotalTime>11</TotalTime>
  <ScaleCrop>false</ScaleCrop>
  <LinksUpToDate>false</LinksUpToDate>
  <CharactersWithSpaces>1558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2021-01-14T01:26:00Z</dcterms:created>
  <dc:creator>Administrator</dc:creator>
  <cp:lastModifiedBy>李正雷</cp:lastModifiedBy>
  <dcterms:modified xsi:type="dcterms:W3CDTF">2022-05-11T01:14:21Z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2021-01-14T00:00:00Z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2FFEDF87564E403EB5F5D30246688E1B</vt:lpwstr>
  </property>
  <property fmtid="{D5CDD505-2E9C-101B-9397-08002B2CF9AE}" pid="7" name="KSOSaveFontToCloudKey">
    <vt:lpwstr>221690735_cloud</vt:lpwstr>
  </property>
</Properties>
</file>